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41" w:rightFromText="141" w:vertAnchor="page" w:horzAnchor="margin" w:tblpY="1891"/>
        <w:tblW w:w="9202" w:type="dxa"/>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9202"/>
      </w:tblGrid>
      <w:tr w14:paraId="6DDC314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93" w:hRule="atLeast"/>
        </w:trPr>
        <w:tc>
          <w:tcPr>
            <w:tcW w:w="9202" w:type="dxa"/>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36E0EC76">
            <w:pPr>
              <w:spacing w:after="0" w:line="240" w:lineRule="auto"/>
              <w:jc w:val="center"/>
              <w:rPr>
                <w:rFonts w:cs="Calibri"/>
                <w:b/>
                <w:bCs/>
                <w:color w:val="FFFFFF" w:themeColor="background1"/>
                <w:sz w:val="24"/>
                <w:szCs w:val="24"/>
                <w:lang w:eastAsia="es-ES"/>
                <w14:textFill>
                  <w14:solidFill>
                    <w14:schemeClr w14:val="bg1"/>
                  </w14:solidFill>
                </w14:textFill>
              </w:rPr>
            </w:pPr>
            <w:r>
              <w:rPr>
                <w:rFonts w:cs="Calibri"/>
                <w:b/>
                <w:bCs/>
                <w:color w:val="FFFFFF" w:themeColor="background1"/>
                <w:sz w:val="24"/>
                <w:szCs w:val="24"/>
                <w:lang w:eastAsia="es-ES"/>
                <w14:textFill>
                  <w14:solidFill>
                    <w14:schemeClr w14:val="bg1"/>
                  </w14:solidFill>
                </w14:textFill>
              </w:rPr>
              <w:t>PROCESO</w:t>
            </w:r>
          </w:p>
        </w:tc>
      </w:tr>
      <w:tr w14:paraId="714DFE6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40" w:hRule="atLeast"/>
        </w:trPr>
        <w:tc>
          <w:tcPr>
            <w:tcW w:w="9202" w:type="dxa"/>
            <w:shd w:val="clear" w:color="auto" w:fill="auto"/>
            <w:vAlign w:val="center"/>
          </w:tcPr>
          <w:p w14:paraId="335C26EC">
            <w:pPr>
              <w:spacing w:after="0" w:line="240" w:lineRule="auto"/>
              <w:jc w:val="center"/>
              <w:rPr>
                <w:rFonts w:cs="Calibri"/>
                <w:b/>
                <w:bCs/>
                <w:sz w:val="24"/>
                <w:szCs w:val="24"/>
                <w:lang w:eastAsia="es-ES"/>
              </w:rPr>
            </w:pPr>
            <w:r>
              <w:rPr>
                <w:rFonts w:cs="Calibri"/>
                <w:b/>
                <w:bCs/>
                <w:sz w:val="24"/>
                <w:szCs w:val="24"/>
                <w:lang w:eastAsia="es-ES"/>
              </w:rPr>
              <w:t xml:space="preserve">GESTION ORGANIZACIONAL Y DEL RIESGO </w:t>
            </w:r>
          </w:p>
        </w:tc>
      </w:tr>
      <w:tr w14:paraId="1379BEF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91" w:hRule="atLeast"/>
        </w:trPr>
        <w:tc>
          <w:tcPr>
            <w:tcW w:w="9202" w:type="dxa"/>
            <w:shd w:val="clear" w:color="auto" w:fill="000000" w:themeFill="text1"/>
            <w:vAlign w:val="center"/>
          </w:tcPr>
          <w:p w14:paraId="5824B67D">
            <w:pPr>
              <w:spacing w:after="0" w:line="240" w:lineRule="auto"/>
              <w:jc w:val="center"/>
              <w:rPr>
                <w:rFonts w:cs="Calibri"/>
                <w:b/>
                <w:bCs/>
                <w:color w:val="FFFFFF" w:themeColor="background1"/>
                <w:sz w:val="24"/>
                <w:szCs w:val="24"/>
                <w:lang w:eastAsia="es-ES"/>
                <w14:textFill>
                  <w14:solidFill>
                    <w14:schemeClr w14:val="bg1"/>
                  </w14:solidFill>
                </w14:textFill>
              </w:rPr>
            </w:pPr>
            <w:r>
              <w:rPr>
                <w:rFonts w:cs="Calibri"/>
                <w:b/>
                <w:bCs/>
                <w:color w:val="FFFFFF" w:themeColor="background1"/>
                <w:sz w:val="24"/>
                <w:szCs w:val="24"/>
                <w:lang w:eastAsia="es-ES"/>
                <w14:textFill>
                  <w14:solidFill>
                    <w14:schemeClr w14:val="bg1"/>
                  </w14:solidFill>
                </w14:textFill>
              </w:rPr>
              <w:t>NOMBRE DEL DOCUMENTO</w:t>
            </w:r>
          </w:p>
        </w:tc>
      </w:tr>
      <w:tr w14:paraId="29611112">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9202" w:type="dxa"/>
            <w:shd w:val="clear" w:color="auto" w:fill="auto"/>
            <w:vAlign w:val="center"/>
          </w:tcPr>
          <w:p w14:paraId="409EDBBF">
            <w:pPr>
              <w:spacing w:after="0" w:line="240" w:lineRule="auto"/>
              <w:jc w:val="center"/>
              <w:rPr>
                <w:rFonts w:cs="Calibri"/>
                <w:b/>
                <w:bCs/>
                <w:sz w:val="24"/>
                <w:szCs w:val="24"/>
                <w:lang w:eastAsia="es-ES"/>
              </w:rPr>
            </w:pPr>
            <w:r>
              <w:rPr>
                <w:rFonts w:cs="Calibri"/>
                <w:b/>
                <w:bCs/>
                <w:sz w:val="24"/>
                <w:szCs w:val="24"/>
                <w:lang w:eastAsia="es-ES"/>
              </w:rPr>
              <w:t xml:space="preserve">PROCEDIMIENTO INSPECCIÓN PRE OPERACIONAL DE VEHÍCULOS </w:t>
            </w:r>
          </w:p>
        </w:tc>
      </w:tr>
    </w:tbl>
    <w:p w14:paraId="058A2275"/>
    <w:p w14:paraId="1F58A604"/>
    <w:p w14:paraId="26E5B42E"/>
    <w:p w14:paraId="553E228D"/>
    <w:p w14:paraId="4BC04CE5"/>
    <w:p w14:paraId="2B52C695"/>
    <w:p w14:paraId="2199105B"/>
    <w:p w14:paraId="08153ED1"/>
    <w:p w14:paraId="32177D8A"/>
    <w:p w14:paraId="4A37F804"/>
    <w:p w14:paraId="603285F8"/>
    <w:p w14:paraId="3FE778CE"/>
    <w:p w14:paraId="23EECA1A"/>
    <w:p w14:paraId="55B97ED5"/>
    <w:p w14:paraId="0D51E4B4"/>
    <w:p w14:paraId="070F0684"/>
    <w:p w14:paraId="2E124EF4">
      <w:pPr>
        <w:rPr>
          <w:sz w:val="24"/>
          <w:szCs w:val="24"/>
        </w:rPr>
      </w:pPr>
    </w:p>
    <w:p w14:paraId="0F6BB17F">
      <w:pPr>
        <w:rPr>
          <w:sz w:val="24"/>
          <w:szCs w:val="24"/>
        </w:rPr>
      </w:pPr>
    </w:p>
    <w:p w14:paraId="31851A39">
      <w:pPr>
        <w:jc w:val="center"/>
        <w:rPr>
          <w:sz w:val="24"/>
          <w:szCs w:val="24"/>
        </w:rPr>
      </w:pPr>
      <w:r>
        <w:rPr>
          <w:sz w:val="24"/>
          <w:szCs w:val="24"/>
        </w:rPr>
        <w:t>Mayo de 2025</w:t>
      </w:r>
    </w:p>
    <w:p w14:paraId="5A4BC250">
      <w:pPr>
        <w:jc w:val="center"/>
        <w:rPr>
          <w:sz w:val="24"/>
          <w:szCs w:val="24"/>
        </w:rPr>
      </w:pPr>
    </w:p>
    <w:p w14:paraId="276A6D73">
      <w:pPr>
        <w:jc w:val="center"/>
        <w:rPr>
          <w:sz w:val="24"/>
          <w:szCs w:val="24"/>
        </w:rPr>
      </w:pPr>
    </w:p>
    <w:p w14:paraId="38F5AE51">
      <w:pPr>
        <w:rPr>
          <w:rFonts w:asciiTheme="majorHAnsi" w:hAnsiTheme="majorHAnsi" w:cstheme="majorHAnsi"/>
          <w:sz w:val="24"/>
          <w:szCs w:val="24"/>
        </w:rPr>
      </w:pPr>
    </w:p>
    <w:p w14:paraId="442D3596">
      <w:pPr>
        <w:pStyle w:val="11"/>
        <w:numPr>
          <w:ilvl w:val="0"/>
          <w:numId w:val="1"/>
        </w:numPr>
        <w:rPr>
          <w:rFonts w:asciiTheme="majorHAnsi" w:hAnsiTheme="majorHAnsi" w:cstheme="majorHAnsi"/>
          <w:b/>
          <w:bCs/>
          <w:sz w:val="24"/>
          <w:szCs w:val="24"/>
        </w:rPr>
      </w:pPr>
      <w:r>
        <w:rPr>
          <w:rFonts w:asciiTheme="majorHAnsi" w:hAnsiTheme="majorHAnsi" w:cstheme="majorHAnsi"/>
          <w:b/>
          <w:bCs/>
          <w:sz w:val="24"/>
          <w:szCs w:val="24"/>
        </w:rPr>
        <w:t>Objetivo</w:t>
      </w:r>
    </w:p>
    <w:p w14:paraId="156DA55E">
      <w:pPr>
        <w:jc w:val="both"/>
        <w:rPr>
          <w:rFonts w:asciiTheme="majorHAnsi" w:hAnsiTheme="majorHAnsi" w:cstheme="majorHAnsi"/>
          <w:sz w:val="24"/>
          <w:szCs w:val="24"/>
        </w:rPr>
      </w:pPr>
      <w:r>
        <w:rPr>
          <w:rFonts w:asciiTheme="majorHAnsi" w:hAnsiTheme="majorHAnsi" w:cstheme="majorHAnsi"/>
          <w:sz w:val="24"/>
          <w:szCs w:val="24"/>
        </w:rPr>
        <w:t>Establecer la metodología para efectuar la inspección preoperacional diaria de seguridad para verificar si los vehículos que realizan desplazamientos laborales al servicio de la compañía se encuentran en adecuado estado, determinando de manera oportuna condiciones que puedan generar incidentes en la vía, de manera que sean intervenidos minimizando el potencial de siniestros viales por fallas mecánicas</w:t>
      </w:r>
    </w:p>
    <w:p w14:paraId="2A6DD3E0">
      <w:pPr>
        <w:pStyle w:val="11"/>
        <w:numPr>
          <w:ilvl w:val="0"/>
          <w:numId w:val="1"/>
        </w:numPr>
        <w:rPr>
          <w:rFonts w:asciiTheme="majorHAnsi" w:hAnsiTheme="majorHAnsi" w:cstheme="majorHAnsi"/>
          <w:b/>
          <w:bCs/>
          <w:sz w:val="24"/>
          <w:szCs w:val="24"/>
        </w:rPr>
      </w:pPr>
      <w:r>
        <w:rPr>
          <w:rFonts w:asciiTheme="majorHAnsi" w:hAnsiTheme="majorHAnsi" w:cstheme="majorHAnsi"/>
          <w:b/>
          <w:bCs/>
          <w:sz w:val="24"/>
          <w:szCs w:val="24"/>
        </w:rPr>
        <w:t>Alcance</w:t>
      </w:r>
    </w:p>
    <w:p w14:paraId="52661237">
      <w:pPr>
        <w:jc w:val="both"/>
        <w:rPr>
          <w:rFonts w:asciiTheme="majorHAnsi" w:hAnsiTheme="majorHAnsi" w:cstheme="majorHAnsi"/>
          <w:sz w:val="24"/>
          <w:szCs w:val="24"/>
        </w:rPr>
      </w:pPr>
      <w:r>
        <w:rPr>
          <w:rFonts w:asciiTheme="majorHAnsi" w:hAnsiTheme="majorHAnsi" w:cstheme="majorHAnsi"/>
          <w:sz w:val="24"/>
          <w:szCs w:val="24"/>
        </w:rPr>
        <w:t>Inicia con la inspección preoperacional de los vehículos que realizan desplazamientos laborales al servicio del SENA, reporte de las condiciones de seguridad del vehículo hasta la subsanación de cualquier novedad presentada antes de salir a cumplir su rol misional en la empresa.</w:t>
      </w:r>
    </w:p>
    <w:p w14:paraId="30D599A7">
      <w:pPr>
        <w:pStyle w:val="11"/>
        <w:numPr>
          <w:ilvl w:val="0"/>
          <w:numId w:val="1"/>
        </w:numPr>
        <w:rPr>
          <w:rFonts w:asciiTheme="majorHAnsi" w:hAnsiTheme="majorHAnsi" w:cstheme="majorHAnsi"/>
          <w:b/>
          <w:bCs/>
          <w:sz w:val="24"/>
          <w:szCs w:val="24"/>
        </w:rPr>
      </w:pPr>
      <w:r>
        <w:rPr>
          <w:rFonts w:asciiTheme="majorHAnsi" w:hAnsiTheme="majorHAnsi" w:cstheme="majorHAnsi"/>
          <w:b/>
          <w:bCs/>
          <w:sz w:val="24"/>
          <w:szCs w:val="24"/>
        </w:rPr>
        <w:t>Responsable</w:t>
      </w:r>
    </w:p>
    <w:p w14:paraId="0D747510">
      <w:pPr>
        <w:rPr>
          <w:rFonts w:asciiTheme="majorHAnsi" w:hAnsiTheme="majorHAnsi" w:cstheme="majorHAnsi"/>
          <w:sz w:val="24"/>
          <w:szCs w:val="24"/>
        </w:rPr>
      </w:pPr>
      <w:r>
        <w:rPr>
          <w:rFonts w:asciiTheme="majorHAnsi" w:hAnsiTheme="majorHAnsi" w:cstheme="majorHAnsi"/>
          <w:b/>
          <w:bCs/>
          <w:sz w:val="24"/>
          <w:szCs w:val="24"/>
        </w:rPr>
        <w:t>Persona en rol de conductor:</w:t>
      </w:r>
      <w:r>
        <w:rPr>
          <w:rFonts w:asciiTheme="majorHAnsi" w:hAnsiTheme="majorHAnsi" w:cstheme="majorHAnsi"/>
          <w:sz w:val="24"/>
          <w:szCs w:val="24"/>
        </w:rPr>
        <w:t xml:space="preserve"> realizar la inspección preoperacional del vehículo a utilizar durante el desplazamiento laboral.</w:t>
      </w:r>
    </w:p>
    <w:p w14:paraId="47BB8EAD">
      <w:pPr>
        <w:rPr>
          <w:rFonts w:asciiTheme="majorHAnsi" w:hAnsiTheme="majorHAnsi" w:cstheme="majorHAnsi"/>
          <w:sz w:val="24"/>
          <w:szCs w:val="24"/>
        </w:rPr>
      </w:pPr>
      <w:r>
        <w:rPr>
          <w:rFonts w:asciiTheme="majorHAnsi" w:hAnsiTheme="majorHAnsi" w:cstheme="majorHAnsi"/>
          <w:sz w:val="24"/>
          <w:szCs w:val="24"/>
        </w:rPr>
        <w:t xml:space="preserve">Reportar las novedades y/o fallas identificadas durante la inspección preoperacional al personal o área que corresponda, siguiendo las instrucciones o indicaciones al respecto. </w:t>
      </w:r>
    </w:p>
    <w:p w14:paraId="015D4E9B">
      <w:pPr>
        <w:jc w:val="both"/>
        <w:rPr>
          <w:rFonts w:asciiTheme="majorHAnsi" w:hAnsiTheme="majorHAnsi" w:cstheme="majorHAnsi"/>
          <w:sz w:val="24"/>
          <w:szCs w:val="24"/>
        </w:rPr>
      </w:pPr>
      <w:r>
        <w:rPr>
          <w:rFonts w:asciiTheme="majorHAnsi" w:hAnsiTheme="majorHAnsi" w:cstheme="majorHAnsi"/>
          <w:b/>
          <w:bCs/>
          <w:sz w:val="24"/>
          <w:szCs w:val="24"/>
        </w:rPr>
        <w:t xml:space="preserve">Líder PESV y/o delegados PESV a nivel nacional: </w:t>
      </w:r>
      <w:r>
        <w:rPr>
          <w:rFonts w:asciiTheme="majorHAnsi" w:hAnsiTheme="majorHAnsi" w:cstheme="majorHAnsi"/>
          <w:sz w:val="24"/>
          <w:szCs w:val="24"/>
        </w:rPr>
        <w:t>verificar de manera periódica la realización de inspecciones preoperacionales de vehículos que realizan desplazamientos al servicio de la entidad.</w:t>
      </w:r>
    </w:p>
    <w:p w14:paraId="739D35EB">
      <w:pPr>
        <w:jc w:val="both"/>
        <w:rPr>
          <w:rFonts w:asciiTheme="majorHAnsi" w:hAnsiTheme="majorHAnsi" w:cstheme="majorHAnsi"/>
          <w:sz w:val="24"/>
          <w:szCs w:val="24"/>
        </w:rPr>
      </w:pPr>
      <w:r>
        <w:rPr>
          <w:rFonts w:asciiTheme="majorHAnsi" w:hAnsiTheme="majorHAnsi" w:cstheme="majorHAnsi"/>
          <w:b/>
          <w:bCs/>
          <w:sz w:val="24"/>
          <w:szCs w:val="24"/>
        </w:rPr>
        <w:t>Área de mantenimiento y/o área o personal encargado de flota vehicular</w:t>
      </w:r>
      <w:r>
        <w:rPr>
          <w:rFonts w:asciiTheme="majorHAnsi" w:hAnsiTheme="majorHAnsi" w:cstheme="majorHAnsi"/>
          <w:sz w:val="24"/>
          <w:szCs w:val="24"/>
        </w:rPr>
        <w:t>: realizar seguimiento permanente a la ejecución de inspecciones preoperacionales de los vehículos que realizan desplazamientos laborales al servicio del SENA.</w:t>
      </w:r>
    </w:p>
    <w:p w14:paraId="712A7F9D">
      <w:pPr>
        <w:jc w:val="both"/>
        <w:rPr>
          <w:rFonts w:asciiTheme="majorHAnsi" w:hAnsiTheme="majorHAnsi" w:cstheme="majorHAnsi"/>
          <w:sz w:val="24"/>
          <w:szCs w:val="24"/>
        </w:rPr>
      </w:pPr>
      <w:r>
        <w:rPr>
          <w:rFonts w:asciiTheme="majorHAnsi" w:hAnsiTheme="majorHAnsi" w:cstheme="majorHAnsi"/>
          <w:sz w:val="24"/>
          <w:szCs w:val="24"/>
        </w:rPr>
        <w:t>recibir las notificaciones de novedades identificadas durante la inspección preoperacional y planificar, realizar o solicitar la ejecución del mantenimiento correctivo que se requiera.</w:t>
      </w:r>
    </w:p>
    <w:p w14:paraId="066EB089">
      <w:pPr>
        <w:jc w:val="both"/>
        <w:rPr>
          <w:rFonts w:asciiTheme="majorHAnsi" w:hAnsiTheme="majorHAnsi" w:cstheme="majorHAnsi"/>
          <w:sz w:val="24"/>
          <w:szCs w:val="24"/>
        </w:rPr>
      </w:pPr>
      <w:r>
        <w:rPr>
          <w:rFonts w:asciiTheme="majorHAnsi" w:hAnsiTheme="majorHAnsi" w:cstheme="majorHAnsi"/>
          <w:sz w:val="24"/>
          <w:szCs w:val="24"/>
        </w:rPr>
        <w:t xml:space="preserve">Generar instrucciones sobre el uso del vehículo acorde con las fallas o novedades identificadas durante la inspección preoperacional. </w:t>
      </w:r>
    </w:p>
    <w:p w14:paraId="5F772D0B">
      <w:pPr>
        <w:jc w:val="both"/>
        <w:rPr>
          <w:rFonts w:asciiTheme="majorHAnsi" w:hAnsiTheme="majorHAnsi" w:cstheme="majorHAnsi"/>
          <w:sz w:val="24"/>
          <w:szCs w:val="24"/>
        </w:rPr>
      </w:pPr>
      <w:r>
        <w:rPr>
          <w:rFonts w:asciiTheme="majorHAnsi" w:hAnsiTheme="majorHAnsi" w:cstheme="majorHAnsi"/>
          <w:sz w:val="24"/>
          <w:szCs w:val="24"/>
        </w:rPr>
        <w:t xml:space="preserve">Definir y actualizar el plan de mantenimiento preventivo y correctivo del vehículo, así como actualizar la hoja de vida del mismo. </w:t>
      </w:r>
    </w:p>
    <w:p w14:paraId="17E1175A">
      <w:pPr>
        <w:jc w:val="both"/>
        <w:rPr>
          <w:rFonts w:asciiTheme="majorHAnsi" w:hAnsiTheme="majorHAnsi" w:cstheme="majorHAnsi"/>
          <w:sz w:val="24"/>
          <w:szCs w:val="24"/>
        </w:rPr>
      </w:pPr>
    </w:p>
    <w:p w14:paraId="7A07DE74">
      <w:pPr>
        <w:pStyle w:val="11"/>
        <w:numPr>
          <w:ilvl w:val="0"/>
          <w:numId w:val="1"/>
        </w:numPr>
        <w:rPr>
          <w:rFonts w:asciiTheme="majorHAnsi" w:hAnsiTheme="majorHAnsi" w:cstheme="majorHAnsi"/>
          <w:b/>
          <w:bCs/>
          <w:sz w:val="24"/>
          <w:szCs w:val="24"/>
        </w:rPr>
      </w:pPr>
      <w:r>
        <w:rPr>
          <w:rFonts w:asciiTheme="majorHAnsi" w:hAnsiTheme="majorHAnsi" w:cstheme="majorHAnsi"/>
          <w:b/>
          <w:bCs/>
          <w:sz w:val="24"/>
          <w:szCs w:val="24"/>
        </w:rPr>
        <w:t>Definiciones</w:t>
      </w:r>
    </w:p>
    <w:p w14:paraId="1AEDF1B8">
      <w:pPr>
        <w:jc w:val="both"/>
        <w:rPr>
          <w:rFonts w:asciiTheme="minorHAnsi" w:hAnsiTheme="minorHAnsi" w:cstheme="minorHAnsi"/>
          <w:sz w:val="24"/>
          <w:szCs w:val="24"/>
          <w:lang w:val="es-MX"/>
        </w:rPr>
      </w:pPr>
      <w:r>
        <w:rPr>
          <w:rFonts w:asciiTheme="minorHAnsi" w:hAnsiTheme="minorHAnsi" w:cstheme="minorHAnsi"/>
          <w:b/>
          <w:sz w:val="24"/>
          <w:szCs w:val="24"/>
          <w:lang w:val="es-MX"/>
        </w:rPr>
        <w:t xml:space="preserve">Inspección pre-operacional: </w:t>
      </w:r>
      <w:r>
        <w:rPr>
          <w:rFonts w:asciiTheme="minorHAnsi" w:hAnsiTheme="minorHAnsi" w:cstheme="minorHAnsi"/>
          <w:sz w:val="24"/>
          <w:szCs w:val="24"/>
          <w:lang w:val="es-MX"/>
        </w:rPr>
        <w:t>Consiste en una revisión básica del vehículo, se realiza en frío, se aplica al iniciar cualquier viaje o en el caso de ser un conductor, antes de iniciar su jornada laboral, lo que se busca es garantizar el buen funcionamiento de todos los sistemas y componentes del vehículo logrando de manera preventiva tener una jornada productiva y entrar en un ambiente de seguridad.</w:t>
      </w:r>
    </w:p>
    <w:p w14:paraId="355ED0C6">
      <w:pPr>
        <w:jc w:val="both"/>
        <w:rPr>
          <w:rFonts w:asciiTheme="minorHAnsi" w:hAnsiTheme="minorHAnsi" w:cstheme="minorHAnsi"/>
          <w:sz w:val="24"/>
          <w:szCs w:val="24"/>
          <w:lang w:val="es-MX"/>
        </w:rPr>
      </w:pPr>
      <w:r>
        <w:rPr>
          <w:rFonts w:asciiTheme="minorHAnsi" w:hAnsiTheme="minorHAnsi" w:cstheme="minorHAnsi"/>
          <w:b/>
          <w:sz w:val="24"/>
          <w:szCs w:val="24"/>
          <w:lang w:val="es-MX"/>
        </w:rPr>
        <w:t>Motocicleta:</w:t>
      </w:r>
      <w:r>
        <w:rPr>
          <w:rFonts w:asciiTheme="minorHAnsi" w:hAnsiTheme="minorHAnsi" w:cstheme="minorHAnsi"/>
          <w:sz w:val="24"/>
          <w:szCs w:val="24"/>
        </w:rPr>
        <w:t xml:space="preserve"> </w:t>
      </w:r>
      <w:r>
        <w:rPr>
          <w:rFonts w:asciiTheme="minorHAnsi" w:hAnsiTheme="minorHAnsi" w:cstheme="minorHAnsi"/>
          <w:sz w:val="24"/>
          <w:szCs w:val="24"/>
          <w:lang w:val="es-MX"/>
        </w:rPr>
        <w:t>Vehículo de dos ruedas, diseñado para el transporte de una o dos personas de un lugar a otro.</w:t>
      </w:r>
    </w:p>
    <w:p w14:paraId="117C06DC">
      <w:pPr>
        <w:jc w:val="both"/>
        <w:rPr>
          <w:rFonts w:asciiTheme="minorHAnsi" w:hAnsiTheme="minorHAnsi" w:cstheme="minorHAnsi"/>
          <w:sz w:val="24"/>
          <w:szCs w:val="24"/>
          <w:lang w:val="es-MX"/>
        </w:rPr>
      </w:pPr>
      <w:r>
        <w:rPr>
          <w:rFonts w:asciiTheme="minorHAnsi" w:hAnsiTheme="minorHAnsi" w:cstheme="minorHAnsi"/>
          <w:b/>
          <w:sz w:val="24"/>
          <w:szCs w:val="24"/>
          <w:lang w:val="es-MX"/>
        </w:rPr>
        <w:t xml:space="preserve">Periodicidad: </w:t>
      </w:r>
      <w:r>
        <w:rPr>
          <w:rFonts w:asciiTheme="minorHAnsi" w:hAnsiTheme="minorHAnsi" w:cstheme="minorHAnsi"/>
          <w:sz w:val="24"/>
          <w:szCs w:val="24"/>
          <w:lang w:val="es-MX"/>
        </w:rPr>
        <w:t>Frecuencia establecida para desarrollar una actividad.</w:t>
      </w:r>
    </w:p>
    <w:p w14:paraId="5E1FF1F9">
      <w:pPr>
        <w:jc w:val="both"/>
        <w:rPr>
          <w:rFonts w:asciiTheme="minorHAnsi" w:hAnsiTheme="minorHAnsi" w:cstheme="minorHAnsi"/>
          <w:sz w:val="24"/>
          <w:szCs w:val="24"/>
          <w:lang w:val="es-MX"/>
        </w:rPr>
      </w:pPr>
      <w:r>
        <w:rPr>
          <w:rFonts w:asciiTheme="minorHAnsi" w:hAnsiTheme="minorHAnsi" w:cstheme="minorHAnsi"/>
          <w:b/>
          <w:sz w:val="24"/>
          <w:szCs w:val="24"/>
          <w:lang w:val="es-MX"/>
        </w:rPr>
        <w:t>Vehículo:</w:t>
      </w:r>
      <w:r>
        <w:rPr>
          <w:rFonts w:asciiTheme="minorHAnsi" w:hAnsiTheme="minorHAnsi" w:cstheme="minorHAnsi"/>
          <w:sz w:val="24"/>
          <w:szCs w:val="24"/>
        </w:rPr>
        <w:t xml:space="preserve"> </w:t>
      </w:r>
      <w:r>
        <w:rPr>
          <w:rFonts w:asciiTheme="minorHAnsi" w:hAnsiTheme="minorHAnsi" w:cstheme="minorHAnsi"/>
          <w:sz w:val="24"/>
          <w:szCs w:val="24"/>
          <w:lang w:val="es-MX"/>
        </w:rPr>
        <w:t>Es un medio de transporte diseñado para mover personas o cosas de un lugar a otro.</w:t>
      </w:r>
    </w:p>
    <w:p w14:paraId="0A92C550">
      <w:pPr>
        <w:pStyle w:val="11"/>
        <w:numPr>
          <w:ilvl w:val="0"/>
          <w:numId w:val="1"/>
        </w:numPr>
        <w:rPr>
          <w:rFonts w:asciiTheme="majorHAnsi" w:hAnsiTheme="majorHAnsi" w:cstheme="majorHAnsi"/>
          <w:b/>
          <w:bCs/>
          <w:sz w:val="24"/>
          <w:szCs w:val="24"/>
        </w:rPr>
      </w:pPr>
      <w:r>
        <w:rPr>
          <w:rFonts w:asciiTheme="majorHAnsi" w:hAnsiTheme="majorHAnsi" w:cstheme="majorHAnsi"/>
          <w:b/>
          <w:bCs/>
          <w:sz w:val="24"/>
          <w:szCs w:val="24"/>
        </w:rPr>
        <w:t>Marco normativo</w:t>
      </w:r>
    </w:p>
    <w:p w14:paraId="3BA83819">
      <w:pPr>
        <w:widowControl w:val="0"/>
        <w:autoSpaceDE w:val="0"/>
        <w:autoSpaceDN w:val="0"/>
        <w:spacing w:after="0" w:line="240" w:lineRule="auto"/>
        <w:jc w:val="both"/>
        <w:rPr>
          <w:sz w:val="24"/>
          <w:szCs w:val="24"/>
        </w:rPr>
      </w:pPr>
      <w:r>
        <w:rPr>
          <w:b/>
          <w:bCs/>
          <w:sz w:val="24"/>
          <w:szCs w:val="24"/>
        </w:rPr>
        <w:t>Resolución 40595 de 2022</w:t>
      </w:r>
      <w:r>
        <w:rPr>
          <w:sz w:val="24"/>
          <w:szCs w:val="24"/>
        </w:rPr>
        <w:t xml:space="preserve">. Por medio del cual se adopta la metodología para el diseño, implementación y verificación de los Planes Estratégicos de Seguridad Vial, Paso 16 Inspección de vehículos y equipos. </w:t>
      </w:r>
    </w:p>
    <w:p w14:paraId="3F7CED1A">
      <w:pPr>
        <w:rPr>
          <w:rFonts w:asciiTheme="majorHAnsi" w:hAnsiTheme="majorHAnsi" w:cstheme="majorHAnsi"/>
          <w:sz w:val="24"/>
          <w:szCs w:val="24"/>
        </w:rPr>
      </w:pPr>
    </w:p>
    <w:p w14:paraId="36A0C601">
      <w:pPr>
        <w:pStyle w:val="11"/>
        <w:numPr>
          <w:ilvl w:val="0"/>
          <w:numId w:val="1"/>
        </w:numPr>
        <w:rPr>
          <w:rFonts w:asciiTheme="majorHAnsi" w:hAnsiTheme="majorHAnsi" w:cstheme="majorHAnsi"/>
          <w:b/>
          <w:bCs/>
          <w:sz w:val="24"/>
          <w:szCs w:val="24"/>
        </w:rPr>
      </w:pPr>
      <w:r>
        <w:rPr>
          <w:rFonts w:asciiTheme="majorHAnsi" w:hAnsiTheme="majorHAnsi" w:cstheme="majorHAnsi"/>
          <w:b/>
          <w:bCs/>
          <w:sz w:val="24"/>
          <w:szCs w:val="24"/>
        </w:rPr>
        <w:t>Generalidades</w:t>
      </w:r>
    </w:p>
    <w:p w14:paraId="50D8D9BF">
      <w:pPr>
        <w:rPr>
          <w:rFonts w:asciiTheme="majorHAnsi" w:hAnsiTheme="majorHAnsi" w:cstheme="majorHAnsi"/>
          <w:sz w:val="24"/>
          <w:szCs w:val="24"/>
        </w:rPr>
      </w:pPr>
      <w:r>
        <w:rPr>
          <w:rFonts w:asciiTheme="majorHAnsi" w:hAnsiTheme="majorHAnsi" w:cstheme="majorHAnsi"/>
          <w:sz w:val="24"/>
          <w:szCs w:val="24"/>
        </w:rPr>
        <w:t xml:space="preserve">Al realizar la inspección preoperacional de vehículos, debe tenerse en cuenta los siguientes aspectos: </w:t>
      </w:r>
    </w:p>
    <w:p w14:paraId="2A2655DF">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La revisión preoperacional se realiza en frio, es decir antes de encender el vehículo</w:t>
      </w:r>
    </w:p>
    <w:p w14:paraId="1BB90B8E">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Revise que la superficie bajo la cual se encuentra el vehículo no presenta rastros de posibles fugas de fluidos</w:t>
      </w:r>
    </w:p>
    <w:p w14:paraId="24FCFB43">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 xml:space="preserve">Puede iniciar la inspección por la parte externa, que incluye vidrios, espejos, limpia brisas, llantas y posteriormente validar los sistemas básicos de vehículo (fluidos) y finalizar con la inspección y funcionamiento en parte interna (pito, frenos, luces, entre otros). </w:t>
      </w:r>
    </w:p>
    <w:p w14:paraId="1840076B">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Para revisar los niveles de fluidos el conductor puede guiarse por las marquillas de la varilla de medición, revisando los mínimos y máximos establecidos por estos y el color del aceite.</w:t>
      </w:r>
    </w:p>
    <w:p w14:paraId="6B6951AF">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Se deben diligenciar la lista de chequeo del tipo de vehículo en su totalidad</w:t>
      </w:r>
    </w:p>
    <w:p w14:paraId="426FA128">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 xml:space="preserve">Se debe evitar tachones y enmendaduras al diligenciar el formato de inspección en caso de ser físico. </w:t>
      </w:r>
    </w:p>
    <w:p w14:paraId="4F865BAA">
      <w:pPr>
        <w:pStyle w:val="11"/>
        <w:widowControl w:val="0"/>
        <w:numPr>
          <w:ilvl w:val="0"/>
          <w:numId w:val="2"/>
        </w:numPr>
        <w:tabs>
          <w:tab w:val="left" w:pos="1941"/>
          <w:tab w:val="left" w:pos="1942"/>
        </w:tabs>
        <w:autoSpaceDE w:val="0"/>
        <w:autoSpaceDN w:val="0"/>
        <w:spacing w:after="0" w:line="240" w:lineRule="auto"/>
        <w:ind w:left="567" w:right="10"/>
        <w:contextualSpacing w:val="0"/>
        <w:jc w:val="both"/>
        <w:rPr>
          <w:rFonts w:asciiTheme="majorHAnsi" w:hAnsiTheme="majorHAnsi" w:cstheme="majorHAnsi"/>
          <w:sz w:val="24"/>
          <w:szCs w:val="24"/>
        </w:rPr>
      </w:pPr>
      <w:r>
        <w:rPr>
          <w:rFonts w:asciiTheme="majorHAnsi" w:hAnsiTheme="majorHAnsi" w:cstheme="majorHAnsi"/>
          <w:sz w:val="24"/>
          <w:szCs w:val="24"/>
        </w:rPr>
        <w:t xml:space="preserve">Se debe registrar claramente las condiciones inseguras, hallazgos u observaciones identificadas durante la inspección. </w:t>
      </w:r>
    </w:p>
    <w:p w14:paraId="70776451">
      <w:pPr>
        <w:rPr>
          <w:rFonts w:asciiTheme="majorHAnsi" w:hAnsiTheme="majorHAnsi" w:cstheme="majorHAnsi"/>
          <w:b/>
          <w:bCs/>
          <w:sz w:val="24"/>
          <w:szCs w:val="24"/>
        </w:rPr>
      </w:pPr>
    </w:p>
    <w:p w14:paraId="2F507648">
      <w:pPr>
        <w:pStyle w:val="11"/>
        <w:numPr>
          <w:ilvl w:val="1"/>
          <w:numId w:val="1"/>
        </w:numPr>
        <w:tabs>
          <w:tab w:val="left" w:pos="993"/>
        </w:tabs>
        <w:rPr>
          <w:rFonts w:asciiTheme="majorHAnsi" w:hAnsiTheme="majorHAnsi" w:cstheme="majorHAnsi"/>
          <w:b/>
          <w:bCs/>
          <w:sz w:val="24"/>
          <w:szCs w:val="24"/>
        </w:rPr>
      </w:pPr>
      <w:r>
        <w:rPr>
          <w:rFonts w:asciiTheme="majorHAnsi" w:hAnsiTheme="majorHAnsi" w:cstheme="majorHAnsi"/>
          <w:b/>
          <w:bCs/>
          <w:sz w:val="24"/>
          <w:szCs w:val="24"/>
        </w:rPr>
        <w:t>Contenido</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3914"/>
        <w:gridCol w:w="2181"/>
        <w:gridCol w:w="2178"/>
      </w:tblGrid>
      <w:tr w14:paraId="6293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CD66F90">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No.</w:t>
            </w:r>
          </w:p>
        </w:tc>
        <w:tc>
          <w:tcPr>
            <w:tcW w:w="3914" w:type="dxa"/>
            <w:vAlign w:val="center"/>
          </w:tcPr>
          <w:p w14:paraId="0982C520">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Descripción de la actividad</w:t>
            </w:r>
          </w:p>
        </w:tc>
        <w:tc>
          <w:tcPr>
            <w:tcW w:w="2181" w:type="dxa"/>
            <w:vAlign w:val="center"/>
          </w:tcPr>
          <w:p w14:paraId="78D11FFB">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Responsable</w:t>
            </w:r>
          </w:p>
        </w:tc>
        <w:tc>
          <w:tcPr>
            <w:tcW w:w="2178" w:type="dxa"/>
            <w:vAlign w:val="center"/>
          </w:tcPr>
          <w:p w14:paraId="09C4EBB4">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Registro</w:t>
            </w:r>
          </w:p>
        </w:tc>
      </w:tr>
      <w:tr w14:paraId="313D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F7D06D6">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1</w:t>
            </w:r>
          </w:p>
        </w:tc>
        <w:tc>
          <w:tcPr>
            <w:tcW w:w="3914" w:type="dxa"/>
            <w:vAlign w:val="center"/>
          </w:tcPr>
          <w:p w14:paraId="3A7C17EF">
            <w:pPr>
              <w:tabs>
                <w:tab w:val="left" w:pos="993"/>
              </w:tabs>
              <w:spacing w:after="0" w:line="240" w:lineRule="auto"/>
              <w:jc w:val="both"/>
              <w:rPr>
                <w:rFonts w:asciiTheme="majorHAnsi" w:hAnsiTheme="majorHAnsi" w:cstheme="majorHAnsi"/>
                <w:sz w:val="24"/>
                <w:szCs w:val="24"/>
              </w:rPr>
            </w:pPr>
            <w:r>
              <w:rPr>
                <w:rFonts w:asciiTheme="majorHAnsi" w:hAnsiTheme="majorHAnsi" w:cstheme="majorHAnsi"/>
              </w:rPr>
              <w:t xml:space="preserve">Preparar el formato a utilizar durante la inspección preoperacional, tener presente que se debe realizar antes de iniciar el primer desplazamiento del día </w:t>
            </w:r>
          </w:p>
        </w:tc>
        <w:tc>
          <w:tcPr>
            <w:tcW w:w="2181" w:type="dxa"/>
            <w:vAlign w:val="center"/>
          </w:tcPr>
          <w:p w14:paraId="45AEFDA5">
            <w:pPr>
              <w:tabs>
                <w:tab w:val="left" w:pos="993"/>
              </w:tabs>
              <w:spacing w:after="0" w:line="240" w:lineRule="auto"/>
              <w:jc w:val="center"/>
              <w:rPr>
                <w:rFonts w:asciiTheme="majorHAnsi" w:hAnsiTheme="majorHAnsi" w:cstheme="majorHAnsi"/>
              </w:rPr>
            </w:pPr>
            <w:r>
              <w:rPr>
                <w:rFonts w:asciiTheme="majorHAnsi" w:hAnsiTheme="majorHAnsi" w:cstheme="majorHAnsi"/>
              </w:rPr>
              <w:t>Persona en rol de conductor</w:t>
            </w:r>
          </w:p>
        </w:tc>
        <w:tc>
          <w:tcPr>
            <w:tcW w:w="2178" w:type="dxa"/>
            <w:vAlign w:val="center"/>
          </w:tcPr>
          <w:p w14:paraId="088295D4">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37D63F0D">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motocicletas</w:t>
            </w:r>
          </w:p>
          <w:p w14:paraId="47329DC3">
            <w:pPr>
              <w:tabs>
                <w:tab w:val="left" w:pos="993"/>
              </w:tabs>
              <w:spacing w:after="0" w:line="240" w:lineRule="auto"/>
              <w:rPr>
                <w:rFonts w:asciiTheme="majorHAnsi" w:hAnsiTheme="majorHAnsi" w:cstheme="majorHAnsi"/>
              </w:rPr>
            </w:pPr>
          </w:p>
        </w:tc>
      </w:tr>
      <w:tr w14:paraId="7AE09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24855002">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2</w:t>
            </w:r>
          </w:p>
        </w:tc>
        <w:tc>
          <w:tcPr>
            <w:tcW w:w="3914" w:type="dxa"/>
            <w:vAlign w:val="center"/>
          </w:tcPr>
          <w:p w14:paraId="295B1466">
            <w:pPr>
              <w:tabs>
                <w:tab w:val="left" w:pos="993"/>
              </w:tabs>
              <w:spacing w:after="0"/>
              <w:jc w:val="both"/>
              <w:rPr>
                <w:rFonts w:asciiTheme="majorHAnsi" w:hAnsiTheme="majorHAnsi" w:cstheme="majorHAnsi"/>
                <w:b/>
                <w:bCs/>
                <w:sz w:val="24"/>
                <w:szCs w:val="24"/>
              </w:rPr>
            </w:pPr>
            <w:r>
              <w:rPr>
                <w:rFonts w:asciiTheme="majorHAnsi" w:hAnsiTheme="majorHAnsi" w:cstheme="majorHAnsi"/>
              </w:rPr>
              <w:t xml:space="preserve">Inicie validando los documentos del vehículo, asegurando que se encuentren disponibles y vigentes: licencia de tránsito, SOAT, revisión técnico mecánica, licencia de conducción, </w:t>
            </w:r>
            <w:r>
              <w:rPr>
                <w:rFonts w:asciiTheme="majorHAnsi" w:hAnsiTheme="majorHAnsi" w:cstheme="majorHAnsi"/>
                <w:lang w:val="es-ES"/>
              </w:rPr>
              <w:t>cédula</w:t>
            </w:r>
            <w:r>
              <w:rPr>
                <w:rFonts w:asciiTheme="majorHAnsi" w:hAnsiTheme="majorHAnsi" w:cstheme="majorHAnsi"/>
              </w:rPr>
              <w:t xml:space="preserve"> de ciudadanía</w:t>
            </w:r>
          </w:p>
        </w:tc>
        <w:tc>
          <w:tcPr>
            <w:tcW w:w="2181" w:type="dxa"/>
            <w:vAlign w:val="center"/>
          </w:tcPr>
          <w:p w14:paraId="262A6552">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6F4E1B2D">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5C25C1CA">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p w14:paraId="1C6CA0F6">
            <w:pPr>
              <w:tabs>
                <w:tab w:val="left" w:pos="993"/>
              </w:tabs>
              <w:spacing w:after="0" w:line="240" w:lineRule="auto"/>
              <w:rPr>
                <w:rFonts w:hint="default" w:asciiTheme="majorHAnsi" w:hAnsiTheme="majorHAnsi" w:cstheme="majorHAnsi"/>
                <w:lang w:val="es-ES"/>
              </w:rPr>
            </w:pPr>
            <w:r>
              <w:rPr>
                <w:rFonts w:hint="default" w:asciiTheme="majorHAnsi" w:hAnsiTheme="majorHAnsi"/>
              </w:rPr>
              <w:t>GIL-G-007</w:t>
            </w:r>
            <w:r>
              <w:rPr>
                <w:rFonts w:hint="default" w:asciiTheme="majorHAnsi" w:hAnsiTheme="majorHAnsi"/>
                <w:lang w:val="es-ES"/>
              </w:rPr>
              <w:t xml:space="preserve"> Guía administración parque automotor</w:t>
            </w:r>
          </w:p>
        </w:tc>
      </w:tr>
      <w:tr w14:paraId="0B48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1446C7E9">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3</w:t>
            </w:r>
          </w:p>
        </w:tc>
        <w:tc>
          <w:tcPr>
            <w:tcW w:w="3914" w:type="dxa"/>
            <w:vAlign w:val="center"/>
          </w:tcPr>
          <w:p w14:paraId="7A6FE61F">
            <w:pPr>
              <w:widowControl w:val="0"/>
              <w:tabs>
                <w:tab w:val="left" w:pos="1941"/>
                <w:tab w:val="left" w:pos="1942"/>
              </w:tabs>
              <w:autoSpaceDE w:val="0"/>
              <w:autoSpaceDN w:val="0"/>
              <w:spacing w:after="0" w:line="240" w:lineRule="auto"/>
              <w:ind w:right="10"/>
              <w:jc w:val="both"/>
              <w:rPr>
                <w:rFonts w:asciiTheme="majorHAnsi" w:hAnsiTheme="majorHAnsi" w:cstheme="majorHAnsi"/>
              </w:rPr>
            </w:pPr>
            <w:r>
              <w:rPr>
                <w:rFonts w:asciiTheme="majorHAnsi" w:hAnsiTheme="majorHAnsi" w:cstheme="majorHAnsi"/>
              </w:rPr>
              <w:t>No encienda el vehículo, revise que la superficie bajo la cual se encuentra el vehículo no presenta rastros de posibles fugas de fluidos</w:t>
            </w:r>
          </w:p>
        </w:tc>
        <w:tc>
          <w:tcPr>
            <w:tcW w:w="2181" w:type="dxa"/>
            <w:vAlign w:val="center"/>
          </w:tcPr>
          <w:p w14:paraId="31DC211C">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1DD28F26">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649ECDF4">
            <w:pPr>
              <w:tabs>
                <w:tab w:val="left" w:pos="993"/>
              </w:tabs>
              <w:spacing w:after="0" w:line="240" w:lineRule="auto"/>
              <w:rPr>
                <w:rFonts w:asciiTheme="majorHAnsi" w:hAnsiTheme="majorHAnsi" w:cstheme="majorHAnsi"/>
                <w:b/>
                <w:bCs/>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763A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6ED9B6D9">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4</w:t>
            </w:r>
          </w:p>
        </w:tc>
        <w:tc>
          <w:tcPr>
            <w:tcW w:w="3914" w:type="dxa"/>
            <w:vAlign w:val="center"/>
          </w:tcPr>
          <w:p w14:paraId="3148A4D5">
            <w:pPr>
              <w:tabs>
                <w:tab w:val="left" w:pos="993"/>
              </w:tabs>
              <w:spacing w:after="0"/>
              <w:jc w:val="both"/>
              <w:rPr>
                <w:rFonts w:asciiTheme="majorHAnsi" w:hAnsiTheme="majorHAnsi" w:cstheme="majorHAnsi"/>
              </w:rPr>
            </w:pPr>
            <w:r>
              <w:rPr>
                <w:rFonts w:asciiTheme="majorHAnsi" w:hAnsiTheme="majorHAnsi" w:cstheme="majorHAnsi"/>
              </w:rPr>
              <w:t>Inspeccione la parte externa del vehículo, según aplique: vidrios, espejos, limpia brisas, asegurándose que se encuentren completos, sin roturas, fisuras u opacidad y limpios</w:t>
            </w:r>
          </w:p>
        </w:tc>
        <w:tc>
          <w:tcPr>
            <w:tcW w:w="2181" w:type="dxa"/>
            <w:vAlign w:val="center"/>
          </w:tcPr>
          <w:p w14:paraId="4AE85EEA">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37CDC9BC">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2851A92F">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19D4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EAA9D76">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5</w:t>
            </w:r>
          </w:p>
        </w:tc>
        <w:tc>
          <w:tcPr>
            <w:tcW w:w="3914" w:type="dxa"/>
            <w:vAlign w:val="center"/>
          </w:tcPr>
          <w:p w14:paraId="32678AD0">
            <w:pPr>
              <w:tabs>
                <w:tab w:val="left" w:pos="993"/>
              </w:tabs>
              <w:spacing w:after="0"/>
              <w:jc w:val="both"/>
              <w:rPr>
                <w:rFonts w:asciiTheme="majorHAnsi" w:hAnsiTheme="majorHAnsi" w:cstheme="majorHAnsi"/>
                <w:b/>
                <w:bCs/>
                <w:sz w:val="24"/>
                <w:szCs w:val="24"/>
              </w:rPr>
            </w:pPr>
            <w:r>
              <w:rPr>
                <w:rFonts w:asciiTheme="majorHAnsi" w:hAnsiTheme="majorHAnsi" w:cstheme="majorHAnsi"/>
              </w:rPr>
              <w:t>Revise el estado de las llantas delanteras, traseras y de repuesto según aplique, validando si presentan chichones, cortes, baja presión, se encuentran lisas o cualquier otra condición que pueda generar un riesgo en la vía</w:t>
            </w:r>
          </w:p>
        </w:tc>
        <w:tc>
          <w:tcPr>
            <w:tcW w:w="2181" w:type="dxa"/>
            <w:vAlign w:val="center"/>
          </w:tcPr>
          <w:p w14:paraId="49452A53">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74B0958D">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0BDD3F69">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2870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0F84BA2F">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6</w:t>
            </w:r>
          </w:p>
        </w:tc>
        <w:tc>
          <w:tcPr>
            <w:tcW w:w="3914" w:type="dxa"/>
            <w:vAlign w:val="center"/>
          </w:tcPr>
          <w:p w14:paraId="71E744B5">
            <w:pPr>
              <w:spacing w:after="0"/>
              <w:jc w:val="both"/>
              <w:rPr>
                <w:rFonts w:asciiTheme="majorHAnsi" w:hAnsiTheme="majorHAnsi" w:cstheme="majorHAnsi"/>
                <w:b/>
                <w:bCs/>
                <w:sz w:val="24"/>
                <w:szCs w:val="24"/>
              </w:rPr>
            </w:pPr>
            <w:r>
              <w:rPr>
                <w:rFonts w:asciiTheme="majorHAnsi" w:hAnsiTheme="majorHAnsi" w:cstheme="majorHAnsi"/>
              </w:rPr>
              <w:t xml:space="preserve">Verificar que los niveles de los fluidos, sean los adecuados e identifique y reporte si se observan fugas: líquidos de frenos, aceite y refrigerante. </w:t>
            </w:r>
          </w:p>
        </w:tc>
        <w:tc>
          <w:tcPr>
            <w:tcW w:w="2181" w:type="dxa"/>
            <w:vAlign w:val="center"/>
          </w:tcPr>
          <w:p w14:paraId="5043D754">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13ABE91E">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3DBD7651">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6F8D1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0D61C853">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7</w:t>
            </w:r>
          </w:p>
        </w:tc>
        <w:tc>
          <w:tcPr>
            <w:tcW w:w="3914" w:type="dxa"/>
            <w:vAlign w:val="center"/>
          </w:tcPr>
          <w:p w14:paraId="7B4EDD9C">
            <w:pPr>
              <w:spacing w:after="0"/>
              <w:rPr>
                <w:rFonts w:asciiTheme="majorHAnsi" w:hAnsiTheme="majorHAnsi" w:cstheme="majorHAnsi"/>
              </w:rPr>
            </w:pPr>
            <w:r>
              <w:rPr>
                <w:rFonts w:asciiTheme="majorHAnsi" w:hAnsiTheme="majorHAnsi" w:cstheme="majorHAnsi"/>
              </w:rPr>
              <w:t xml:space="preserve">Inicie la verificación interna del vehículo o de mobiliario del vehículo, como sillas, cinturones de seguridad cuando aplique, revisando que no tengan roturas, cinturones funcionales, no deshilachados. </w:t>
            </w:r>
          </w:p>
        </w:tc>
        <w:tc>
          <w:tcPr>
            <w:tcW w:w="2181" w:type="dxa"/>
            <w:vAlign w:val="center"/>
          </w:tcPr>
          <w:p w14:paraId="1B989220">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50FD64C6">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4710EE26">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motocicletas</w:t>
            </w:r>
          </w:p>
        </w:tc>
      </w:tr>
      <w:tr w14:paraId="2AB3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11BE0F03">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8</w:t>
            </w:r>
          </w:p>
        </w:tc>
        <w:tc>
          <w:tcPr>
            <w:tcW w:w="3914" w:type="dxa"/>
            <w:vAlign w:val="center"/>
          </w:tcPr>
          <w:p w14:paraId="43528EC7">
            <w:pPr>
              <w:spacing w:after="0"/>
              <w:jc w:val="both"/>
              <w:rPr>
                <w:rFonts w:asciiTheme="majorHAnsi" w:hAnsiTheme="majorHAnsi" w:cstheme="majorHAnsi"/>
              </w:rPr>
            </w:pPr>
            <w:r>
              <w:rPr>
                <w:rFonts w:asciiTheme="majorHAnsi" w:hAnsiTheme="majorHAnsi" w:cstheme="majorHAnsi"/>
              </w:rPr>
              <w:t xml:space="preserve">Valide el funcionamiento de los tableros o indicadores del vehículo, validando que enciendan y no se activen testigos de alerta </w:t>
            </w:r>
          </w:p>
        </w:tc>
        <w:tc>
          <w:tcPr>
            <w:tcW w:w="2181" w:type="dxa"/>
            <w:vAlign w:val="center"/>
          </w:tcPr>
          <w:p w14:paraId="513C33F8">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38E49403">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6535D978">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297E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51A2F9B7">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9</w:t>
            </w:r>
          </w:p>
        </w:tc>
        <w:tc>
          <w:tcPr>
            <w:tcW w:w="3914" w:type="dxa"/>
            <w:vAlign w:val="center"/>
          </w:tcPr>
          <w:p w14:paraId="7452C129">
            <w:pPr>
              <w:spacing w:after="0"/>
              <w:jc w:val="both"/>
              <w:rPr>
                <w:rFonts w:asciiTheme="majorHAnsi" w:hAnsiTheme="majorHAnsi" w:cstheme="majorHAnsi"/>
              </w:rPr>
            </w:pPr>
            <w:r>
              <w:rPr>
                <w:rFonts w:asciiTheme="majorHAnsi" w:hAnsiTheme="majorHAnsi" w:cstheme="majorHAnsi"/>
              </w:rPr>
              <w:t xml:space="preserve">Valide el funcionamiento del pito y las luces: direccionales delanteros y traseras, altas y bajas de parqueo o stop. </w:t>
            </w:r>
          </w:p>
        </w:tc>
        <w:tc>
          <w:tcPr>
            <w:tcW w:w="2181" w:type="dxa"/>
            <w:vAlign w:val="center"/>
          </w:tcPr>
          <w:p w14:paraId="25C94060">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116D23B3">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2AB1CDF9">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698D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0267FAB3">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10</w:t>
            </w:r>
          </w:p>
        </w:tc>
        <w:tc>
          <w:tcPr>
            <w:tcW w:w="3914" w:type="dxa"/>
            <w:vAlign w:val="center"/>
          </w:tcPr>
          <w:p w14:paraId="6A095F2B">
            <w:pPr>
              <w:spacing w:after="0"/>
              <w:jc w:val="both"/>
              <w:rPr>
                <w:rFonts w:asciiTheme="majorHAnsi" w:hAnsiTheme="majorHAnsi" w:cstheme="majorHAnsi"/>
              </w:rPr>
            </w:pPr>
            <w:r>
              <w:rPr>
                <w:rFonts w:asciiTheme="majorHAnsi" w:hAnsiTheme="majorHAnsi" w:cstheme="majorHAnsi"/>
              </w:rPr>
              <w:t xml:space="preserve">Valide que el vehículo cuenta con los equipos de prevención y seguridad tales como botiquín (elementos vigentes y en buen estado), extintor (vigente y en buen estado), herramientas, kit de carretera (señalética, conos, tacos), gato, inspeccione elementos de protección personal (casco, traje antifricción y/o elementos de protección para motociclistas) </w:t>
            </w:r>
          </w:p>
        </w:tc>
        <w:tc>
          <w:tcPr>
            <w:tcW w:w="2181" w:type="dxa"/>
            <w:vAlign w:val="center"/>
          </w:tcPr>
          <w:p w14:paraId="0494F308">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6237DF55">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0AAE95E3">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r w14:paraId="2ED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6DC1115A">
            <w:pPr>
              <w:tabs>
                <w:tab w:val="left" w:pos="993"/>
              </w:tabs>
              <w:spacing w:after="0"/>
              <w:jc w:val="center"/>
              <w:rPr>
                <w:rFonts w:asciiTheme="majorHAnsi" w:hAnsiTheme="majorHAnsi" w:cstheme="majorHAnsi"/>
                <w:b/>
                <w:bCs/>
                <w:sz w:val="24"/>
                <w:szCs w:val="24"/>
              </w:rPr>
            </w:pPr>
            <w:r>
              <w:rPr>
                <w:rFonts w:asciiTheme="majorHAnsi" w:hAnsiTheme="majorHAnsi" w:cstheme="majorHAnsi"/>
                <w:b/>
                <w:bCs/>
                <w:sz w:val="24"/>
                <w:szCs w:val="24"/>
              </w:rPr>
              <w:t>11</w:t>
            </w:r>
          </w:p>
        </w:tc>
        <w:tc>
          <w:tcPr>
            <w:tcW w:w="3914" w:type="dxa"/>
            <w:vAlign w:val="center"/>
          </w:tcPr>
          <w:p w14:paraId="22C390E0">
            <w:pPr>
              <w:spacing w:after="0"/>
              <w:jc w:val="both"/>
              <w:rPr>
                <w:rFonts w:asciiTheme="majorHAnsi" w:hAnsiTheme="majorHAnsi" w:cstheme="majorHAnsi"/>
              </w:rPr>
            </w:pPr>
            <w:r>
              <w:rPr>
                <w:rFonts w:asciiTheme="majorHAnsi" w:hAnsiTheme="majorHAnsi" w:cstheme="majorHAnsi"/>
              </w:rPr>
              <w:t xml:space="preserve">Deje registro de los hallazgos en el formato establecido y reporte los daños fallas y/o anomalías al encargado de la flota o del mantenimiento del vehículo. </w:t>
            </w:r>
          </w:p>
          <w:p w14:paraId="4399997F">
            <w:pPr>
              <w:spacing w:after="0"/>
              <w:jc w:val="both"/>
              <w:rPr>
                <w:rFonts w:asciiTheme="majorHAnsi" w:hAnsiTheme="majorHAnsi" w:cstheme="majorHAnsi"/>
              </w:rPr>
            </w:pPr>
            <w:r>
              <w:rPr>
                <w:rFonts w:asciiTheme="majorHAnsi" w:hAnsiTheme="majorHAnsi" w:cstheme="majorHAnsi"/>
              </w:rPr>
              <w:t xml:space="preserve">Absténgase de operar el vehículo si encuentra fallas que puedan generar condiciones inseguras o siniestros durante los recorridos, espere las indicaciones del encargado de la flota </w:t>
            </w:r>
          </w:p>
        </w:tc>
        <w:tc>
          <w:tcPr>
            <w:tcW w:w="2181" w:type="dxa"/>
            <w:vAlign w:val="center"/>
          </w:tcPr>
          <w:p w14:paraId="76A278D9">
            <w:pPr>
              <w:tabs>
                <w:tab w:val="left" w:pos="993"/>
              </w:tabs>
              <w:spacing w:after="0" w:line="240" w:lineRule="auto"/>
              <w:jc w:val="center"/>
              <w:rPr>
                <w:rFonts w:asciiTheme="majorHAnsi" w:hAnsiTheme="majorHAnsi" w:cstheme="majorHAnsi"/>
                <w:b/>
                <w:bCs/>
              </w:rPr>
            </w:pPr>
            <w:r>
              <w:rPr>
                <w:rFonts w:asciiTheme="majorHAnsi" w:hAnsiTheme="majorHAnsi" w:cstheme="majorHAnsi"/>
              </w:rPr>
              <w:t>Persona en rol de conductor</w:t>
            </w:r>
          </w:p>
        </w:tc>
        <w:tc>
          <w:tcPr>
            <w:tcW w:w="2178" w:type="dxa"/>
            <w:vAlign w:val="center"/>
          </w:tcPr>
          <w:p w14:paraId="161BC223">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302BEBA2">
            <w:pPr>
              <w:tabs>
                <w:tab w:val="left" w:pos="993"/>
              </w:tabs>
              <w:spacing w:after="0" w:line="240" w:lineRule="auto"/>
              <w:rPr>
                <w:rFonts w:asciiTheme="majorHAnsi" w:hAnsiTheme="majorHAnsi" w:cstheme="majorHAnsi"/>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tc>
      </w:tr>
    </w:tbl>
    <w:p w14:paraId="7DE0CF59">
      <w:pPr>
        <w:pStyle w:val="11"/>
        <w:tabs>
          <w:tab w:val="left" w:pos="993"/>
        </w:tabs>
        <w:rPr>
          <w:rFonts w:asciiTheme="majorHAnsi" w:hAnsiTheme="majorHAnsi" w:cstheme="majorHAnsi"/>
          <w:b/>
          <w:bCs/>
          <w:sz w:val="24"/>
          <w:szCs w:val="24"/>
        </w:rPr>
      </w:pPr>
    </w:p>
    <w:p w14:paraId="391178EA">
      <w:pPr>
        <w:pStyle w:val="11"/>
        <w:numPr>
          <w:ilvl w:val="1"/>
          <w:numId w:val="1"/>
        </w:numPr>
        <w:tabs>
          <w:tab w:val="left" w:pos="993"/>
        </w:tabs>
        <w:rPr>
          <w:rFonts w:asciiTheme="majorHAnsi" w:hAnsiTheme="majorHAnsi" w:cstheme="majorHAnsi"/>
          <w:b/>
          <w:bCs/>
          <w:sz w:val="24"/>
          <w:szCs w:val="24"/>
        </w:rPr>
      </w:pPr>
      <w:r>
        <w:rPr>
          <w:rFonts w:asciiTheme="majorHAnsi" w:hAnsiTheme="majorHAnsi" w:cstheme="majorHAnsi"/>
          <w:b/>
          <w:bCs/>
          <w:sz w:val="24"/>
          <w:szCs w:val="24"/>
        </w:rPr>
        <w:t>Planificación y seguimiento de mantenimientos</w:t>
      </w:r>
    </w:p>
    <w:p w14:paraId="71DCA432">
      <w:pPr>
        <w:tabs>
          <w:tab w:val="left" w:pos="993"/>
        </w:tabs>
        <w:jc w:val="both"/>
        <w:rPr>
          <w:rFonts w:asciiTheme="majorHAnsi" w:hAnsiTheme="majorHAnsi" w:cstheme="majorHAnsi"/>
          <w:sz w:val="24"/>
          <w:szCs w:val="24"/>
        </w:rPr>
      </w:pPr>
      <w:r>
        <w:rPr>
          <w:rFonts w:asciiTheme="majorHAnsi" w:hAnsiTheme="majorHAnsi" w:cstheme="majorHAnsi"/>
          <w:sz w:val="24"/>
          <w:szCs w:val="24"/>
        </w:rPr>
        <w:t xml:space="preserve">Una vez se reportan las novedades identificadas durante la inspección preoperacional el área de mantenimiento y/o área o personas encargadas de la flota, deben realizar la planificación, ejecución y/o seguimiento a la implementación de los mantenimientos correctivos o preventivos identificados, manteniendo actualizado el plan de mantenimiento y hoja de vida del vehículo. </w:t>
      </w:r>
      <w:bookmarkStart w:id="0" w:name="_GoBack"/>
      <w:bookmarkEnd w:id="0"/>
    </w:p>
    <w:p w14:paraId="55E561E4">
      <w:pPr>
        <w:pStyle w:val="11"/>
        <w:numPr>
          <w:ilvl w:val="1"/>
          <w:numId w:val="1"/>
        </w:numPr>
        <w:tabs>
          <w:tab w:val="left" w:pos="993"/>
        </w:tabs>
        <w:jc w:val="both"/>
        <w:rPr>
          <w:rFonts w:asciiTheme="majorHAnsi" w:hAnsiTheme="majorHAnsi" w:cstheme="majorHAnsi"/>
          <w:b/>
          <w:bCs/>
          <w:sz w:val="24"/>
          <w:szCs w:val="24"/>
        </w:rPr>
      </w:pPr>
      <w:r>
        <w:rPr>
          <w:rFonts w:asciiTheme="majorHAnsi" w:hAnsiTheme="majorHAnsi" w:cstheme="majorHAnsi"/>
          <w:b/>
          <w:bCs/>
          <w:sz w:val="24"/>
          <w:szCs w:val="24"/>
        </w:rPr>
        <w:t>Control de registros</w:t>
      </w:r>
    </w:p>
    <w:p w14:paraId="5BE93BF9">
      <w:pPr>
        <w:tabs>
          <w:tab w:val="left" w:pos="993"/>
        </w:tabs>
        <w:jc w:val="both"/>
        <w:rPr>
          <w:rFonts w:asciiTheme="majorHAnsi" w:hAnsiTheme="majorHAnsi" w:cstheme="majorHAnsi"/>
          <w:sz w:val="24"/>
          <w:szCs w:val="24"/>
        </w:rPr>
      </w:pPr>
      <w:r>
        <w:rPr>
          <w:rFonts w:asciiTheme="majorHAnsi" w:hAnsiTheme="majorHAnsi" w:cstheme="majorHAnsi"/>
          <w:sz w:val="24"/>
          <w:szCs w:val="24"/>
        </w:rPr>
        <w:t>Los registros derivados de las inspecciones preoperacionales son almacenados acorde con lo establecido en el listado maestro de registros de la entidad por un tiempo mínimo de un (1) año.</w:t>
      </w:r>
    </w:p>
    <w:p w14:paraId="1DAE98A0">
      <w:pPr>
        <w:pStyle w:val="11"/>
        <w:numPr>
          <w:ilvl w:val="0"/>
          <w:numId w:val="1"/>
        </w:numPr>
        <w:tabs>
          <w:tab w:val="left" w:pos="993"/>
        </w:tabs>
        <w:rPr>
          <w:rFonts w:asciiTheme="majorHAnsi" w:hAnsiTheme="majorHAnsi" w:cstheme="majorHAnsi"/>
          <w:b/>
          <w:bCs/>
          <w:sz w:val="24"/>
          <w:szCs w:val="24"/>
        </w:rPr>
      </w:pPr>
      <w:r>
        <w:rPr>
          <w:rFonts w:asciiTheme="majorHAnsi" w:hAnsiTheme="majorHAnsi" w:cstheme="majorHAnsi"/>
          <w:b/>
          <w:bCs/>
          <w:sz w:val="24"/>
          <w:szCs w:val="24"/>
        </w:rPr>
        <w:t>Documentos relacionados</w:t>
      </w:r>
    </w:p>
    <w:p w14:paraId="02112C02">
      <w:pPr>
        <w:tabs>
          <w:tab w:val="left" w:pos="993"/>
        </w:tabs>
        <w:spacing w:after="0" w:line="240" w:lineRule="auto"/>
        <w:rPr>
          <w:rFonts w:asciiTheme="majorHAnsi" w:hAnsiTheme="majorHAnsi" w:cstheme="majorHAnsi"/>
        </w:rPr>
      </w:pPr>
      <w:r>
        <w:rPr>
          <w:rFonts w:hint="default" w:asciiTheme="majorHAnsi" w:hAnsiTheme="majorHAnsi"/>
        </w:rPr>
        <w:t>GIL-F-035</w:t>
      </w:r>
      <w:r>
        <w:rPr>
          <w:rFonts w:hint="default" w:asciiTheme="majorHAnsi" w:hAnsiTheme="majorHAnsi"/>
          <w:lang w:val="es-ES"/>
        </w:rPr>
        <w:t xml:space="preserve"> </w:t>
      </w:r>
      <w:r>
        <w:rPr>
          <w:rFonts w:asciiTheme="majorHAnsi" w:hAnsiTheme="majorHAnsi" w:cstheme="majorHAnsi"/>
        </w:rPr>
        <w:t>Formato para chequeo</w:t>
      </w:r>
      <w:r>
        <w:rPr>
          <w:rFonts w:hint="default" w:asciiTheme="majorHAnsi" w:hAnsiTheme="majorHAnsi" w:cstheme="majorHAnsi"/>
          <w:lang w:val="es-ES"/>
        </w:rPr>
        <w:t xml:space="preserve"> antes de la marcha</w:t>
      </w:r>
      <w:r>
        <w:rPr>
          <w:rFonts w:asciiTheme="majorHAnsi" w:hAnsiTheme="majorHAnsi" w:cstheme="majorHAnsi"/>
        </w:rPr>
        <w:t xml:space="preserve"> de</w:t>
      </w:r>
      <w:r>
        <w:rPr>
          <w:rFonts w:hint="default" w:asciiTheme="majorHAnsi" w:hAnsiTheme="majorHAnsi" w:cstheme="majorHAnsi"/>
          <w:lang w:val="es-ES"/>
        </w:rPr>
        <w:t>l</w:t>
      </w:r>
      <w:r>
        <w:rPr>
          <w:rFonts w:asciiTheme="majorHAnsi" w:hAnsiTheme="majorHAnsi" w:cstheme="majorHAnsi"/>
        </w:rPr>
        <w:t xml:space="preserve"> vehículos </w:t>
      </w:r>
    </w:p>
    <w:p w14:paraId="04F8F419">
      <w:pPr>
        <w:tabs>
          <w:tab w:val="left" w:pos="993"/>
        </w:tabs>
        <w:spacing w:after="0" w:line="240" w:lineRule="auto"/>
        <w:rPr>
          <w:rFonts w:hint="default" w:asciiTheme="majorHAnsi" w:hAnsiTheme="majorHAnsi" w:cstheme="majorHAnsi"/>
          <w:lang w:val="es-ES"/>
        </w:rPr>
      </w:pPr>
      <w:r>
        <w:rPr>
          <w:rFonts w:hint="default" w:asciiTheme="majorHAnsi" w:hAnsiTheme="majorHAnsi"/>
        </w:rPr>
        <w:t>GIL-G-007</w:t>
      </w:r>
      <w:r>
        <w:rPr>
          <w:rFonts w:hint="default" w:asciiTheme="majorHAnsi" w:hAnsiTheme="majorHAnsi"/>
          <w:lang w:val="es-ES"/>
        </w:rPr>
        <w:t xml:space="preserve"> Guía administración parque automotor</w:t>
      </w:r>
    </w:p>
    <w:p w14:paraId="76428B41">
      <w:pPr>
        <w:tabs>
          <w:tab w:val="left" w:pos="993"/>
        </w:tabs>
        <w:rPr>
          <w:rFonts w:asciiTheme="majorHAnsi" w:hAnsiTheme="majorHAnsi" w:cstheme="majorHAnsi"/>
          <w:sz w:val="24"/>
          <w:szCs w:val="24"/>
        </w:rPr>
      </w:pPr>
      <w:r>
        <w:rPr>
          <w:rFonts w:hint="default" w:asciiTheme="majorHAnsi" w:hAnsiTheme="majorHAnsi" w:cstheme="majorHAnsi"/>
          <w:highlight w:val="yellow"/>
          <w:lang w:val="es-ES"/>
        </w:rPr>
        <w:t xml:space="preserve">XXXXX </w:t>
      </w:r>
      <w:r>
        <w:rPr>
          <w:rFonts w:asciiTheme="majorHAnsi" w:hAnsiTheme="majorHAnsi" w:cstheme="majorHAnsi"/>
          <w:highlight w:val="yellow"/>
        </w:rPr>
        <w:t>F</w:t>
      </w:r>
      <w:r>
        <w:rPr>
          <w:rFonts w:asciiTheme="majorHAnsi" w:hAnsiTheme="majorHAnsi" w:cstheme="majorHAnsi"/>
        </w:rPr>
        <w:t xml:space="preserve">ormato para </w:t>
      </w:r>
      <w:r>
        <w:rPr>
          <w:rFonts w:asciiTheme="majorHAnsi" w:hAnsiTheme="majorHAnsi" w:cstheme="majorHAnsi"/>
          <w:lang w:val="es-ES"/>
        </w:rPr>
        <w:t>inspección</w:t>
      </w:r>
      <w:r>
        <w:rPr>
          <w:rFonts w:hint="default" w:asciiTheme="majorHAnsi" w:hAnsiTheme="majorHAnsi" w:cstheme="majorHAnsi"/>
          <w:lang w:val="es-ES"/>
        </w:rPr>
        <w:t xml:space="preserve"> </w:t>
      </w:r>
      <w:r>
        <w:rPr>
          <w:rFonts w:asciiTheme="majorHAnsi" w:hAnsiTheme="majorHAnsi" w:cstheme="majorHAnsi"/>
        </w:rPr>
        <w:t>de motocicleta</w:t>
      </w:r>
    </w:p>
    <w:p w14:paraId="1E4EC843">
      <w:pPr>
        <w:tabs>
          <w:tab w:val="left" w:pos="993"/>
        </w:tabs>
        <w:rPr>
          <w:rFonts w:asciiTheme="majorHAnsi" w:hAnsiTheme="majorHAnsi" w:cstheme="majorHAnsi"/>
          <w:sz w:val="24"/>
          <w:szCs w:val="24"/>
        </w:rPr>
      </w:pPr>
    </w:p>
    <w:p w14:paraId="4F65776C">
      <w:pPr>
        <w:pStyle w:val="11"/>
        <w:numPr>
          <w:ilvl w:val="0"/>
          <w:numId w:val="1"/>
        </w:numPr>
        <w:tabs>
          <w:tab w:val="left" w:pos="993"/>
        </w:tabs>
        <w:rPr>
          <w:rFonts w:asciiTheme="majorHAnsi" w:hAnsiTheme="majorHAnsi" w:cstheme="majorHAnsi"/>
          <w:b/>
          <w:bCs/>
          <w:sz w:val="24"/>
          <w:szCs w:val="24"/>
        </w:rPr>
      </w:pPr>
      <w:r>
        <w:rPr>
          <w:rFonts w:asciiTheme="majorHAnsi" w:hAnsiTheme="majorHAnsi" w:cstheme="majorHAnsi"/>
          <w:b/>
          <w:bCs/>
          <w:sz w:val="24"/>
          <w:szCs w:val="24"/>
        </w:rPr>
        <w:t>Control de cambios</w:t>
      </w:r>
    </w:p>
    <w:tbl>
      <w:tblPr>
        <w:tblStyle w:val="14"/>
        <w:tblW w:w="8488" w:type="dxa"/>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1163"/>
        <w:gridCol w:w="2152"/>
        <w:gridCol w:w="5173"/>
      </w:tblGrid>
      <w:tr w14:paraId="0E59500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40" w:hRule="atLeast"/>
        </w:trPr>
        <w:tc>
          <w:tcPr>
            <w:tcW w:w="1103" w:type="dxa"/>
          </w:tcPr>
          <w:p w14:paraId="02A35636">
            <w:pPr>
              <w:spacing w:after="0" w:line="240" w:lineRule="auto"/>
              <w:jc w:val="center"/>
              <w:textAlignment w:val="baseline"/>
              <w:rPr>
                <w:sz w:val="24"/>
                <w:szCs w:val="24"/>
                <w:lang w:eastAsia="es-ES"/>
              </w:rPr>
            </w:pPr>
            <w:r>
              <w:rPr>
                <w:rFonts w:eastAsia="Times New Roman" w:cs="Calibri"/>
                <w:b/>
                <w:bCs/>
                <w:sz w:val="24"/>
                <w:szCs w:val="24"/>
                <w:lang w:eastAsia="es-ES"/>
              </w:rPr>
              <w:t>VERSION</w:t>
            </w:r>
            <w:r>
              <w:rPr>
                <w:rFonts w:eastAsia="Times New Roman" w:cs="Calibri"/>
                <w:sz w:val="24"/>
                <w:szCs w:val="24"/>
                <w:lang w:eastAsia="es-ES"/>
              </w:rPr>
              <w:t> </w:t>
            </w:r>
          </w:p>
        </w:tc>
        <w:tc>
          <w:tcPr>
            <w:tcW w:w="2165" w:type="dxa"/>
          </w:tcPr>
          <w:p w14:paraId="4F2EFF47">
            <w:pPr>
              <w:spacing w:after="0" w:line="240" w:lineRule="auto"/>
              <w:jc w:val="center"/>
              <w:textAlignment w:val="baseline"/>
              <w:rPr>
                <w:sz w:val="24"/>
                <w:szCs w:val="24"/>
                <w:lang w:eastAsia="es-ES"/>
              </w:rPr>
            </w:pPr>
            <w:r>
              <w:rPr>
                <w:rFonts w:eastAsia="Times New Roman" w:cs="Calibri"/>
                <w:b/>
                <w:bCs/>
                <w:sz w:val="24"/>
                <w:szCs w:val="24"/>
                <w:lang w:eastAsia="es-ES"/>
              </w:rPr>
              <w:t>FECHA DE ENTRADA EN VIGENTE</w:t>
            </w:r>
            <w:r>
              <w:rPr>
                <w:rFonts w:eastAsia="Times New Roman" w:cs="Calibri"/>
                <w:sz w:val="24"/>
                <w:szCs w:val="24"/>
                <w:lang w:eastAsia="es-ES"/>
              </w:rPr>
              <w:t> </w:t>
            </w:r>
          </w:p>
        </w:tc>
        <w:tc>
          <w:tcPr>
            <w:tcW w:w="5220" w:type="dxa"/>
          </w:tcPr>
          <w:p w14:paraId="59042055">
            <w:pPr>
              <w:spacing w:after="0" w:line="240" w:lineRule="auto"/>
              <w:jc w:val="center"/>
              <w:textAlignment w:val="baseline"/>
              <w:rPr>
                <w:sz w:val="24"/>
                <w:szCs w:val="24"/>
                <w:lang w:eastAsia="es-ES"/>
              </w:rPr>
            </w:pPr>
            <w:r>
              <w:rPr>
                <w:rFonts w:eastAsia="Times New Roman" w:cs="Calibri"/>
                <w:b/>
                <w:bCs/>
                <w:sz w:val="24"/>
                <w:szCs w:val="24"/>
                <w:lang w:eastAsia="es-ES"/>
              </w:rPr>
              <w:t>NATURALEZA DEL CAMBIO</w:t>
            </w:r>
            <w:r>
              <w:rPr>
                <w:rFonts w:eastAsia="Times New Roman" w:cs="Calibri"/>
                <w:sz w:val="24"/>
                <w:szCs w:val="24"/>
                <w:lang w:eastAsia="es-ES"/>
              </w:rPr>
              <w:t> </w:t>
            </w:r>
          </w:p>
        </w:tc>
      </w:tr>
      <w:tr w14:paraId="6F8A5DC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300" w:hRule="atLeast"/>
        </w:trPr>
        <w:tc>
          <w:tcPr>
            <w:tcW w:w="1103" w:type="dxa"/>
            <w:vAlign w:val="center"/>
          </w:tcPr>
          <w:p w14:paraId="136096CE">
            <w:pPr>
              <w:spacing w:after="0" w:line="240" w:lineRule="auto"/>
              <w:jc w:val="center"/>
              <w:textAlignment w:val="baseline"/>
              <w:rPr>
                <w:sz w:val="24"/>
                <w:szCs w:val="24"/>
                <w:lang w:eastAsia="es-ES"/>
              </w:rPr>
            </w:pPr>
            <w:r>
              <w:rPr>
                <w:sz w:val="24"/>
                <w:szCs w:val="24"/>
                <w:lang w:eastAsia="es-ES"/>
              </w:rPr>
              <w:t>01</w:t>
            </w:r>
          </w:p>
        </w:tc>
        <w:tc>
          <w:tcPr>
            <w:tcW w:w="2165" w:type="dxa"/>
            <w:vAlign w:val="center"/>
          </w:tcPr>
          <w:p w14:paraId="7B862A62">
            <w:pPr>
              <w:spacing w:after="0" w:line="240" w:lineRule="auto"/>
              <w:jc w:val="center"/>
              <w:textAlignment w:val="baseline"/>
              <w:rPr>
                <w:sz w:val="24"/>
                <w:szCs w:val="24"/>
                <w:lang w:eastAsia="es-ES"/>
              </w:rPr>
            </w:pPr>
          </w:p>
        </w:tc>
        <w:tc>
          <w:tcPr>
            <w:tcW w:w="5220" w:type="dxa"/>
          </w:tcPr>
          <w:p w14:paraId="6514F1BA">
            <w:pPr>
              <w:spacing w:after="0" w:line="240" w:lineRule="auto"/>
              <w:jc w:val="both"/>
              <w:textAlignment w:val="baseline"/>
              <w:rPr>
                <w:sz w:val="24"/>
                <w:szCs w:val="24"/>
                <w:lang w:eastAsia="es-ES"/>
              </w:rPr>
            </w:pPr>
            <w:r>
              <w:rPr>
                <w:sz w:val="24"/>
                <w:szCs w:val="24"/>
                <w:lang w:eastAsia="es-ES"/>
              </w:rPr>
              <w:t>Versión inicial</w:t>
            </w:r>
          </w:p>
        </w:tc>
      </w:tr>
    </w:tbl>
    <w:p w14:paraId="2A3CD378">
      <w:pPr>
        <w:tabs>
          <w:tab w:val="left" w:pos="993"/>
        </w:tabs>
        <w:ind w:left="360"/>
        <w:rPr>
          <w:rFonts w:asciiTheme="majorHAnsi" w:hAnsiTheme="majorHAnsi" w:cstheme="majorHAnsi"/>
        </w:rPr>
      </w:pPr>
    </w:p>
    <w:p w14:paraId="7A896859">
      <w:pPr>
        <w:tabs>
          <w:tab w:val="left" w:pos="993"/>
        </w:tabs>
        <w:ind w:left="360"/>
        <w:rPr>
          <w:rFonts w:asciiTheme="majorHAnsi" w:hAnsiTheme="majorHAnsi" w:cstheme="majorHAnsi"/>
        </w:rPr>
      </w:pPr>
    </w:p>
    <w:sectPr>
      <w:headerReference r:id="rId5"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D20AF">
    <w:pPr>
      <w:pStyle w:val="5"/>
      <w:jc w:val="center"/>
    </w:pPr>
    <w:r>
      <w:rPr>
        <w:lang w:eastAsia="es-CO"/>
      </w:rPr>
      <w:drawing>
        <wp:inline distT="0" distB="0" distL="0" distR="0">
          <wp:extent cx="592455" cy="56134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p w14:paraId="4A6B9238">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EA48A3"/>
    <w:multiLevelType w:val="multilevel"/>
    <w:tmpl w:val="16EA48A3"/>
    <w:lvl w:ilvl="0" w:tentative="0">
      <w:start w:val="5"/>
      <w:numFmt w:val="bullet"/>
      <w:lvlText w:val="-"/>
      <w:lvlJc w:val="left"/>
      <w:pPr>
        <w:ind w:left="1636" w:hanging="360"/>
      </w:pPr>
      <w:rPr>
        <w:rFonts w:hint="default" w:ascii="Arial" w:hAnsi="Arial" w:eastAsia="Tahoma" w:cs="Arial"/>
      </w:rPr>
    </w:lvl>
    <w:lvl w:ilvl="1" w:tentative="0">
      <w:start w:val="1"/>
      <w:numFmt w:val="bullet"/>
      <w:lvlText w:val="o"/>
      <w:lvlJc w:val="left"/>
      <w:pPr>
        <w:ind w:left="2356" w:hanging="360"/>
      </w:pPr>
      <w:rPr>
        <w:rFonts w:hint="default" w:ascii="Courier New" w:hAnsi="Courier New" w:cs="Courier New"/>
      </w:rPr>
    </w:lvl>
    <w:lvl w:ilvl="2" w:tentative="0">
      <w:start w:val="1"/>
      <w:numFmt w:val="bullet"/>
      <w:lvlText w:val=""/>
      <w:lvlJc w:val="left"/>
      <w:pPr>
        <w:ind w:left="3076" w:hanging="360"/>
      </w:pPr>
      <w:rPr>
        <w:rFonts w:hint="default" w:ascii="Wingdings" w:hAnsi="Wingdings"/>
      </w:rPr>
    </w:lvl>
    <w:lvl w:ilvl="3" w:tentative="0">
      <w:start w:val="1"/>
      <w:numFmt w:val="bullet"/>
      <w:lvlText w:val=""/>
      <w:lvlJc w:val="left"/>
      <w:pPr>
        <w:ind w:left="3796" w:hanging="360"/>
      </w:pPr>
      <w:rPr>
        <w:rFonts w:hint="default" w:ascii="Symbol" w:hAnsi="Symbol"/>
      </w:rPr>
    </w:lvl>
    <w:lvl w:ilvl="4" w:tentative="0">
      <w:start w:val="1"/>
      <w:numFmt w:val="bullet"/>
      <w:lvlText w:val="o"/>
      <w:lvlJc w:val="left"/>
      <w:pPr>
        <w:ind w:left="4516" w:hanging="360"/>
      </w:pPr>
      <w:rPr>
        <w:rFonts w:hint="default" w:ascii="Courier New" w:hAnsi="Courier New" w:cs="Courier New"/>
      </w:rPr>
    </w:lvl>
    <w:lvl w:ilvl="5" w:tentative="0">
      <w:start w:val="1"/>
      <w:numFmt w:val="bullet"/>
      <w:lvlText w:val=""/>
      <w:lvlJc w:val="left"/>
      <w:pPr>
        <w:ind w:left="5236" w:hanging="360"/>
      </w:pPr>
      <w:rPr>
        <w:rFonts w:hint="default" w:ascii="Wingdings" w:hAnsi="Wingdings"/>
      </w:rPr>
    </w:lvl>
    <w:lvl w:ilvl="6" w:tentative="0">
      <w:start w:val="1"/>
      <w:numFmt w:val="bullet"/>
      <w:lvlText w:val=""/>
      <w:lvlJc w:val="left"/>
      <w:pPr>
        <w:ind w:left="5956" w:hanging="360"/>
      </w:pPr>
      <w:rPr>
        <w:rFonts w:hint="default" w:ascii="Symbol" w:hAnsi="Symbol"/>
      </w:rPr>
    </w:lvl>
    <w:lvl w:ilvl="7" w:tentative="0">
      <w:start w:val="1"/>
      <w:numFmt w:val="bullet"/>
      <w:lvlText w:val="o"/>
      <w:lvlJc w:val="left"/>
      <w:pPr>
        <w:ind w:left="6676" w:hanging="360"/>
      </w:pPr>
      <w:rPr>
        <w:rFonts w:hint="default" w:ascii="Courier New" w:hAnsi="Courier New" w:cs="Courier New"/>
      </w:rPr>
    </w:lvl>
    <w:lvl w:ilvl="8" w:tentative="0">
      <w:start w:val="1"/>
      <w:numFmt w:val="bullet"/>
      <w:lvlText w:val=""/>
      <w:lvlJc w:val="left"/>
      <w:pPr>
        <w:ind w:left="7396" w:hanging="360"/>
      </w:pPr>
      <w:rPr>
        <w:rFonts w:hint="default" w:ascii="Wingdings" w:hAnsi="Wingdings"/>
      </w:rPr>
    </w:lvl>
  </w:abstractNum>
  <w:abstractNum w:abstractNumId="1">
    <w:nsid w:val="61361F49"/>
    <w:multiLevelType w:val="multilevel"/>
    <w:tmpl w:val="61361F49"/>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1F8"/>
    <w:rsid w:val="0003615A"/>
    <w:rsid w:val="000401AD"/>
    <w:rsid w:val="002778EC"/>
    <w:rsid w:val="002E7A99"/>
    <w:rsid w:val="0031708B"/>
    <w:rsid w:val="00345186"/>
    <w:rsid w:val="0042443F"/>
    <w:rsid w:val="004A2D0E"/>
    <w:rsid w:val="004A3E4F"/>
    <w:rsid w:val="004F22BF"/>
    <w:rsid w:val="00526DBB"/>
    <w:rsid w:val="005E6C40"/>
    <w:rsid w:val="006D7863"/>
    <w:rsid w:val="0071172C"/>
    <w:rsid w:val="00807E27"/>
    <w:rsid w:val="008571F8"/>
    <w:rsid w:val="0087060B"/>
    <w:rsid w:val="008B6586"/>
    <w:rsid w:val="0095117A"/>
    <w:rsid w:val="009B7BE0"/>
    <w:rsid w:val="009D264C"/>
    <w:rsid w:val="00AA51BD"/>
    <w:rsid w:val="00AD7C7F"/>
    <w:rsid w:val="00B26C24"/>
    <w:rsid w:val="00BF4BCA"/>
    <w:rsid w:val="00C21456"/>
    <w:rsid w:val="00C43BF5"/>
    <w:rsid w:val="00C75D4A"/>
    <w:rsid w:val="00CB6155"/>
    <w:rsid w:val="00CD2316"/>
    <w:rsid w:val="00D5657E"/>
    <w:rsid w:val="00D62B5A"/>
    <w:rsid w:val="00E10A04"/>
    <w:rsid w:val="00E348BF"/>
    <w:rsid w:val="00EE2C8E"/>
    <w:rsid w:val="00F60A5E"/>
    <w:rsid w:val="217167B8"/>
    <w:rsid w:val="2AB660FE"/>
    <w:rsid w:val="33940114"/>
    <w:rsid w:val="68947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es-CO"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Segoe UI" w:hAnsi="Segoe UI" w:cs="Segoe UI"/>
      <w:sz w:val="18"/>
      <w:szCs w:val="18"/>
    </w:rPr>
  </w:style>
  <w:style w:type="paragraph" w:styleId="5">
    <w:name w:val="header"/>
    <w:basedOn w:val="1"/>
    <w:link w:val="8"/>
    <w:unhideWhenUsed/>
    <w:qFormat/>
    <w:uiPriority w:val="99"/>
    <w:pPr>
      <w:tabs>
        <w:tab w:val="center" w:pos="4419"/>
        <w:tab w:val="right" w:pos="8838"/>
      </w:tabs>
      <w:spacing w:after="0" w:line="240" w:lineRule="auto"/>
    </w:pPr>
  </w:style>
  <w:style w:type="paragraph" w:styleId="6">
    <w:name w:val="footer"/>
    <w:basedOn w:val="1"/>
    <w:link w:val="9"/>
    <w:unhideWhenUsed/>
    <w:qFormat/>
    <w:uiPriority w:val="99"/>
    <w:pPr>
      <w:tabs>
        <w:tab w:val="center" w:pos="4419"/>
        <w:tab w:val="right" w:pos="8838"/>
      </w:tabs>
      <w:spacing w:after="0" w:line="240" w:lineRule="auto"/>
    </w:p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Encabezado Car"/>
    <w:basedOn w:val="2"/>
    <w:link w:val="5"/>
    <w:qFormat/>
    <w:uiPriority w:val="99"/>
  </w:style>
  <w:style w:type="character" w:customStyle="1" w:styleId="9">
    <w:name w:val="Pie de página Car"/>
    <w:basedOn w:val="2"/>
    <w:link w:val="6"/>
    <w:qFormat/>
    <w:uiPriority w:val="99"/>
  </w:style>
  <w:style w:type="table" w:customStyle="1" w:styleId="10">
    <w:name w:val="Grid Table 4"/>
    <w:basedOn w:val="3"/>
    <w:qFormat/>
    <w:uiPriority w:val="49"/>
    <w:pPr>
      <w:spacing w:after="0" w:line="240" w:lineRule="auto"/>
    </w:pPr>
    <w:rPr>
      <w:rFonts w:eastAsiaTheme="minorEastAsia"/>
      <w:sz w:val="24"/>
      <w:szCs w:val="24"/>
      <w:lang w:val="es-CO" w:eastAsia="es-ES"/>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11">
    <w:name w:val="List Paragraph"/>
    <w:basedOn w:val="1"/>
    <w:link w:val="13"/>
    <w:qFormat/>
    <w:uiPriority w:val="34"/>
    <w:pPr>
      <w:ind w:left="720"/>
      <w:contextualSpacing/>
    </w:pPr>
  </w:style>
  <w:style w:type="character" w:customStyle="1" w:styleId="12">
    <w:name w:val="Texto de globo Car"/>
    <w:basedOn w:val="2"/>
    <w:link w:val="4"/>
    <w:semiHidden/>
    <w:uiPriority w:val="99"/>
    <w:rPr>
      <w:rFonts w:ascii="Segoe UI" w:hAnsi="Segoe UI" w:eastAsia="Calibri" w:cs="Segoe UI"/>
      <w:sz w:val="18"/>
      <w:szCs w:val="18"/>
      <w:lang w:val="es-CO"/>
    </w:rPr>
  </w:style>
  <w:style w:type="character" w:customStyle="1" w:styleId="13">
    <w:name w:val="Párrafo de lista Car"/>
    <w:link w:val="11"/>
    <w:qFormat/>
    <w:locked/>
    <w:uiPriority w:val="34"/>
    <w:rPr>
      <w:rFonts w:ascii="Calibri" w:hAnsi="Calibri" w:eastAsia="Calibri" w:cs="Times New Roman"/>
      <w:lang w:val="es-CO"/>
    </w:rPr>
  </w:style>
  <w:style w:type="table" w:customStyle="1" w:styleId="14">
    <w:name w:val="Tabla con cuadrícula clara1"/>
    <w:basedOn w:val="3"/>
    <w:qFormat/>
    <w:uiPriority w:val="40"/>
    <w:pPr>
      <w:spacing w:after="0" w:line="240" w:lineRule="auto"/>
    </w:pPr>
    <w:rPr>
      <w:rFonts w:ascii="Calibri" w:hAnsi="Calibri" w:eastAsia="Calibri" w:cs="Times New Roman"/>
      <w:sz w:val="20"/>
      <w:szCs w:val="20"/>
      <w:lang w:val="es-CO" w:eastAsia="es-E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1286</Words>
  <Characters>7077</Characters>
  <Lines>58</Lines>
  <Paragraphs>16</Paragraphs>
  <TotalTime>4</TotalTime>
  <ScaleCrop>false</ScaleCrop>
  <LinksUpToDate>false</LinksUpToDate>
  <CharactersWithSpaces>8347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2025-03-18T20:59:00Z</dcterms:created>
  <dc:creator>ASUS</dc:creator>
  <cp:lastModifiedBy>PERSSONAL</cp:lastModifiedBy>
  <dcterms:modified xsi:type="dcterms:W3CDTF">2025-10-08T22:17:05Z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3082-12.2.0.22549</vt:lpwstr>
  </property>
  <property fmtid="{D5CDD505-2E9C-101B-9397-08002B2CF9AE}" pid="3" name="ICV">
    <vt:lpwstr>BFF7F34A3192474797E91FE89D1E5604_12</vt:lpwstr>
  </property>
</Properties>
</file>